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52"/>
          <w:szCs w:val="52"/>
          <w:rtl w:val="0"/>
        </w:rPr>
        <w:t xml:space="preserve">Assignment 3 Literature Review Outline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6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22"/>
          <w:szCs w:val="22"/>
          <w:rtl w:val="0"/>
        </w:rPr>
        <w:t xml:space="preserve">Evaluating neuroscientific evidence for diagnosis and rehabilitation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rubric outline is based on the actual Assignment 1 and 2 case.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Title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Evaluating Neuroscientific Evidence for Diagnosis and Rehabilitation Planning in Acquired Frontal-Subcortical Dysfunction After Ischemic Injury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Selected Clinical Case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Clinical Case B from Assignments 1 and 2: a 52-year-old individual with personality, behavioral regulation, and executive-function changes after an ischemic event affecting frontal and subcortical regions.</w:t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Research Question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How does current neuroscientific evidence inform diagnosis and treatment planning for acquired frontal-subcortical dysfunction after ischemic injury?</w:t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Thesis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Current neuroscientific evidence supports Clinical Case B as an acquired neurobehavioral syndrome involving frontal-subcortical executive-control disruption rather than a primary mood, personality, or neurodegenerative disorder. Evidence is strongest for diagnosis, symptom explanation, and functional rehabilitation planning, while neuromodulation approaches such as rTMS remain promising but still developing adjunctive interventions.</w:t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rtl w:val="0"/>
        </w:rPr>
        <w:t xml:space="preserve">1. Introduction: Case Anchor and Review Focus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Introduction Plan</w:t>
      </w:r>
    </w:p>
    <w:p w:rsidR="00000000" w:rsidDel="00000000" w:rsidP="00000000" w:rsidRDefault="00000000" w:rsidRPr="00000000" w14:paraId="0000000E">
      <w:pPr>
        <w:spacing w:after="16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Target: </w:t>
      </w:r>
      <w:r w:rsidDel="00000000" w:rsidR="00000000" w:rsidRPr="00000000">
        <w:rPr>
          <w:rtl w:val="0"/>
        </w:rPr>
        <w:t xml:space="preserve">200-250 words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Briefly introduce Clinical Case B without restating the full case history. Identify the key clinical issue: post-ischemic changes in executive functioning, impulse control, emotional regulation, judgment, and insight.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State that the review evaluates neuroscientific evidence for diagnosis and treatment planning. End with the thesis.</w:t>
      </w:r>
    </w:p>
    <w:p w:rsidR="00000000" w:rsidDel="00000000" w:rsidP="00000000" w:rsidRDefault="00000000" w:rsidRPr="00000000" w14:paraId="00000011">
      <w:pPr>
        <w:spacing w:after="16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Pain point solved: </w:t>
      </w:r>
      <w:r w:rsidDel="00000000" w:rsidR="00000000" w:rsidRPr="00000000">
        <w:rPr>
          <w:rtl w:val="0"/>
        </w:rPr>
        <w:t xml:space="preserve">This directly satisfies the requirement to select a sample case from Assignment 1 or 2.</w:t>
      </w:r>
    </w:p>
    <w:p w:rsidR="00000000" w:rsidDel="00000000" w:rsidP="00000000" w:rsidRDefault="00000000" w:rsidRPr="00000000" w14:paraId="00000012">
      <w:pPr>
        <w:pStyle w:val="Heading1"/>
        <w:rPr/>
      </w:pPr>
      <w:r w:rsidDel="00000000" w:rsidR="00000000" w:rsidRPr="00000000">
        <w:rPr>
          <w:rtl w:val="0"/>
        </w:rPr>
        <w:t xml:space="preserve">2. Research Evaluation Summary Table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Use only peer-reviewed sources in this table. Study.com lessons should not be table rows.</w:t>
      </w:r>
    </w:p>
    <w:tbl>
      <w:tblPr>
        <w:tblStyle w:val="Table1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0"/>
        <w:gridCol w:w="2750"/>
        <w:gridCol w:w="2600"/>
        <w:gridCol w:w="1610"/>
        <w:tblGridChange w:id="0">
          <w:tblGrid>
            <w:gridCol w:w="2400"/>
            <w:gridCol w:w="2750"/>
            <w:gridCol w:w="2600"/>
            <w:gridCol w:w="1610"/>
          </w:tblGrid>
        </w:tblGridChange>
      </w:tblGrid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Main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Clinical Relevance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Barrash et al. (2018)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Acquired personality disturbance after focal brain damage.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Lesion/personality disturbance study.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Explains behavioral change after frontal injury.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Barrash et al. (2022)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Prefrontal lesion sectors and personality disturbance.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Lesion-symptom mapping.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Links DLPFC/vmPFC damage to executive/social behavior.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Wallin et al. (2018)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Vascular cognitive impairment and subcortical disease.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Clinical/neurobiological review.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Supports frontal-subcortical vascular mechanism.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El Husseini et al. (2023)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Post-stroke cognitive impairment.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AHA/ASA scientific statement.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Supports diagnosis, monitoring, and management.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Saa et al. (2021)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Cognitive recovery after stroke.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Meta-analysis/metaregression.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Supports prognosis and recovery expectations.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O'Donoghue et al. (2022)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Cognitive rehabilitation after stroke.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Systematic review/meta-analysis of RCTs.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Supports rehab and compensatory treatment planning.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Wang et al. (2022)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Noninvasive brain stimulation for post-stroke cognition.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Systematic review/network meta-analysis.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76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9"/>
                <w:szCs w:val="19"/>
                <w:rtl w:val="0"/>
              </w:rPr>
              <w:t xml:space="preserve">Supports rTMS/tDCS as emerging adjuncts.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Style w:val="Heading1"/>
        <w:rPr/>
      </w:pPr>
      <w:r w:rsidDel="00000000" w:rsidR="00000000" w:rsidRPr="00000000">
        <w:rPr>
          <w:rtl w:val="0"/>
        </w:rPr>
        <w:t xml:space="preserve">3. Research Quality and Methodology</w:t>
      </w:r>
    </w:p>
    <w:p w:rsidR="00000000" w:rsidDel="00000000" w:rsidP="00000000" w:rsidRDefault="00000000" w:rsidRPr="00000000" w14:paraId="00000035">
      <w:pPr>
        <w:pStyle w:val="Heading2"/>
        <w:rPr/>
      </w:pPr>
      <w:r w:rsidDel="00000000" w:rsidR="00000000" w:rsidRPr="00000000">
        <w:rPr>
          <w:rtl w:val="0"/>
        </w:rPr>
        <w:t xml:space="preserve">Evaluation Plan</w:t>
      </w:r>
    </w:p>
    <w:p w:rsidR="00000000" w:rsidDel="00000000" w:rsidP="00000000" w:rsidRDefault="00000000" w:rsidRPr="00000000" w14:paraId="00000036">
      <w:pPr>
        <w:spacing w:after="16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Target: </w:t>
      </w:r>
      <w:r w:rsidDel="00000000" w:rsidR="00000000" w:rsidRPr="00000000">
        <w:rPr>
          <w:rtl w:val="0"/>
        </w:rPr>
        <w:t xml:space="preserve">350-450 words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Use Prestes (2025) to evaluate research quality: study design, validity, bias, sample size, controls, replication, and generalizability.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Use Boyd (2025) to explain why neuroimaging, lesion mapping, and brain-behavior methods matter.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Compare source types: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Lesion studies are strong for brain-behavior localization but may have limited sample generalizability.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Meta-analyses and systematic reviews provide broader evidence but may combine heterogeneous stroke types, interventions, and outcomes.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Scientific statements are clinically useful but should be treated as synthesis/guidance, not original experimental evidence.</w:t>
      </w:r>
    </w:p>
    <w:p w:rsidR="00000000" w:rsidDel="00000000" w:rsidP="00000000" w:rsidRDefault="00000000" w:rsidRPr="00000000" w14:paraId="0000003D">
      <w:pPr>
        <w:spacing w:after="16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Pain point solved: </w:t>
      </w:r>
      <w:r w:rsidDel="00000000" w:rsidR="00000000" w:rsidRPr="00000000">
        <w:rPr>
          <w:rtl w:val="0"/>
        </w:rPr>
        <w:t xml:space="preserve">This directly hits the research-evaluation rubric.</w:t>
      </w:r>
    </w:p>
    <w:p w:rsidR="00000000" w:rsidDel="00000000" w:rsidP="00000000" w:rsidRDefault="00000000" w:rsidRPr="00000000" w14:paraId="0000003E">
      <w:pPr>
        <w:pStyle w:val="Heading1"/>
        <w:rPr/>
      </w:pPr>
      <w:r w:rsidDel="00000000" w:rsidR="00000000" w:rsidRPr="00000000">
        <w:rPr>
          <w:rtl w:val="0"/>
        </w:rPr>
        <w:t xml:space="preserve">4. Neuroscientific Evidence Synthesis</w:t>
      </w:r>
    </w:p>
    <w:p w:rsidR="00000000" w:rsidDel="00000000" w:rsidP="00000000" w:rsidRDefault="00000000" w:rsidRPr="00000000" w14:paraId="0000003F">
      <w:pPr>
        <w:pStyle w:val="Heading2"/>
        <w:rPr/>
      </w:pPr>
      <w:r w:rsidDel="00000000" w:rsidR="00000000" w:rsidRPr="00000000">
        <w:rPr>
          <w:rtl w:val="0"/>
        </w:rPr>
        <w:t xml:space="preserve">Synthesis Plan</w:t>
      </w:r>
    </w:p>
    <w:p w:rsidR="00000000" w:rsidDel="00000000" w:rsidP="00000000" w:rsidRDefault="00000000" w:rsidRPr="00000000" w14:paraId="00000040">
      <w:pPr>
        <w:spacing w:after="16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Target: </w:t>
      </w:r>
      <w:r w:rsidDel="00000000" w:rsidR="00000000" w:rsidRPr="00000000">
        <w:rPr>
          <w:rtl w:val="0"/>
        </w:rPr>
        <w:t xml:space="preserve">500-600 words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Organize thematically, not article-by-article.</w:t>
      </w:r>
    </w:p>
    <w:p w:rsidR="00000000" w:rsidDel="00000000" w:rsidP="00000000" w:rsidRDefault="00000000" w:rsidRPr="00000000" w14:paraId="00000042">
      <w:pPr>
        <w:pStyle w:val="Heading2"/>
        <w:rPr/>
      </w:pPr>
      <w:r w:rsidDel="00000000" w:rsidR="00000000" w:rsidRPr="00000000">
        <w:rPr>
          <w:rtl w:val="0"/>
        </w:rPr>
        <w:t xml:space="preserve">A. Frontal-Subcortical Mechanisms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Discuss DLPFC, ventromedial/orbitofrontal regions, anterior cingulate, and frontal-striatal circuits. Link these to planning, inhibition, judgment, empathy, emotional regulation, processing speed, and insight.</w:t>
      </w:r>
    </w:p>
    <w:p w:rsidR="00000000" w:rsidDel="00000000" w:rsidP="00000000" w:rsidRDefault="00000000" w:rsidRPr="00000000" w14:paraId="00000044">
      <w:pPr>
        <w:pStyle w:val="Heading2"/>
        <w:rPr/>
      </w:pPr>
      <w:r w:rsidDel="00000000" w:rsidR="00000000" w:rsidRPr="00000000">
        <w:rPr>
          <w:rtl w:val="0"/>
        </w:rPr>
        <w:t xml:space="preserve">B. Diagnostic Interpretation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Explain why the case fits acquired frontal-subcortical dysfunction better than a primary personality disorder, primary mood disorder, or global neurodegeneration.</w:t>
      </w:r>
    </w:p>
    <w:p w:rsidR="00000000" w:rsidDel="00000000" w:rsidP="00000000" w:rsidRDefault="00000000" w:rsidRPr="00000000" w14:paraId="00000046">
      <w:pPr>
        <w:pStyle w:val="Heading2"/>
        <w:rPr/>
      </w:pPr>
      <w:r w:rsidDel="00000000" w:rsidR="00000000" w:rsidRPr="00000000">
        <w:rPr>
          <w:rtl w:val="0"/>
        </w:rPr>
        <w:t xml:space="preserve">C. Post-Stroke Cognitive and Behavioral Outcomes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Use vascular cognitive impairment and post-stroke cognition literature to explain why executive dysfunction can occur even when memory, language, and basic motor/sensory functions are relatively preserved.</w:t>
      </w:r>
    </w:p>
    <w:p w:rsidR="00000000" w:rsidDel="00000000" w:rsidP="00000000" w:rsidRDefault="00000000" w:rsidRPr="00000000" w14:paraId="00000048">
      <w:pPr>
        <w:spacing w:after="16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Pain point solved: </w:t>
      </w:r>
      <w:r w:rsidDel="00000000" w:rsidR="00000000" w:rsidRPr="00000000">
        <w:rPr>
          <w:rtl w:val="0"/>
        </w:rPr>
        <w:t xml:space="preserve">This creates real synthesis instead of source summaries.</w:t>
      </w:r>
    </w:p>
    <w:p w:rsidR="00000000" w:rsidDel="00000000" w:rsidP="00000000" w:rsidRDefault="00000000" w:rsidRPr="00000000" w14:paraId="00000049">
      <w:pPr>
        <w:pStyle w:val="Heading1"/>
        <w:rPr/>
      </w:pPr>
      <w:r w:rsidDel="00000000" w:rsidR="00000000" w:rsidRPr="00000000">
        <w:rPr>
          <w:rtl w:val="0"/>
        </w:rPr>
        <w:t xml:space="preserve">5. Clinical Relevance and Treatment Planning</w:t>
      </w:r>
    </w:p>
    <w:p w:rsidR="00000000" w:rsidDel="00000000" w:rsidP="00000000" w:rsidRDefault="00000000" w:rsidRPr="00000000" w14:paraId="0000004A">
      <w:pPr>
        <w:pStyle w:val="Heading2"/>
        <w:rPr/>
      </w:pPr>
      <w:r w:rsidDel="00000000" w:rsidR="00000000" w:rsidRPr="00000000">
        <w:rPr>
          <w:rtl w:val="0"/>
        </w:rPr>
        <w:t xml:space="preserve">Application Plan</w:t>
      </w:r>
    </w:p>
    <w:p w:rsidR="00000000" w:rsidDel="00000000" w:rsidP="00000000" w:rsidRDefault="00000000" w:rsidRPr="00000000" w14:paraId="0000004B">
      <w:pPr>
        <w:spacing w:after="16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Target: </w:t>
      </w:r>
      <w:r w:rsidDel="00000000" w:rsidR="00000000" w:rsidRPr="00000000">
        <w:rPr>
          <w:rtl w:val="0"/>
        </w:rPr>
        <w:t xml:space="preserve">300-400 words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This section should focus on rehabilitation planning, not rTMS alone.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Recommended clinical applications: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Comprehensive neuropsychological assessment.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Cognitive rehabilitation for executive functioning.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External structure: calendars, checklists, routines, environmental organization.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Occupational accommodations: reduced multitasking, written instructions, deadline supports.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Emotional regulation support.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Family/caregiver education.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Monitoring for mood, fatigue, medication effects, and safety risks.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rTMS/noninvasive brain stimulation as an emerging adjunct, not the primary treatment recommendation.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Use Hultzman (2022) for biological therapy context and Kilgore (2015) only to explain rTMS basics. Use Gillaspy (2021) lightly if discussing medication/mood confounds.</w:t>
      </w:r>
    </w:p>
    <w:p w:rsidR="00000000" w:rsidDel="00000000" w:rsidP="00000000" w:rsidRDefault="00000000" w:rsidRPr="00000000" w14:paraId="00000057">
      <w:pPr>
        <w:spacing w:after="16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Pain point solved: </w:t>
      </w:r>
      <w:r w:rsidDel="00000000" w:rsidR="00000000" w:rsidRPr="00000000">
        <w:rPr>
          <w:rtl w:val="0"/>
        </w:rPr>
        <w:t xml:space="preserve">This avoids overclaiming rTMS and gives practical clinical application.</w:t>
      </w:r>
    </w:p>
    <w:p w:rsidR="00000000" w:rsidDel="00000000" w:rsidP="00000000" w:rsidRDefault="00000000" w:rsidRPr="00000000" w14:paraId="00000058">
      <w:pPr>
        <w:pStyle w:val="Heading1"/>
        <w:rPr/>
      </w:pPr>
      <w:r w:rsidDel="00000000" w:rsidR="00000000" w:rsidRPr="00000000">
        <w:rPr>
          <w:rtl w:val="0"/>
        </w:rPr>
        <w:t xml:space="preserve">6. Limitations and Uncertainty</w:t>
      </w:r>
    </w:p>
    <w:p w:rsidR="00000000" w:rsidDel="00000000" w:rsidP="00000000" w:rsidRDefault="00000000" w:rsidRPr="00000000" w14:paraId="00000059">
      <w:pPr>
        <w:pStyle w:val="Heading2"/>
        <w:rPr/>
      </w:pPr>
      <w:r w:rsidDel="00000000" w:rsidR="00000000" w:rsidRPr="00000000">
        <w:rPr>
          <w:rtl w:val="0"/>
        </w:rPr>
        <w:t xml:space="preserve">Limitations Plan</w:t>
      </w:r>
    </w:p>
    <w:p w:rsidR="00000000" w:rsidDel="00000000" w:rsidP="00000000" w:rsidRDefault="00000000" w:rsidRPr="00000000" w14:paraId="0000005A">
      <w:pPr>
        <w:spacing w:after="16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Target: </w:t>
      </w:r>
      <w:r w:rsidDel="00000000" w:rsidR="00000000" w:rsidRPr="00000000">
        <w:rPr>
          <w:rtl w:val="0"/>
        </w:rPr>
        <w:t xml:space="preserve">200-250 words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Discuss: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Lesion location and stroke effects vary across patients.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Imaging findings do not prove individual outcomes by themselves.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Neuropsychological testing is still necessary.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Rehabilitation studies vary in intervention type, duration, and outcome measures.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rTMS evidence for post-stroke cognition is promising but not definitive.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Group-level findings must be applied cautiously to one clinical case.</w:t>
      </w:r>
    </w:p>
    <w:p w:rsidR="00000000" w:rsidDel="00000000" w:rsidP="00000000" w:rsidRDefault="00000000" w:rsidRPr="00000000" w14:paraId="00000062">
      <w:pPr>
        <w:spacing w:after="16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Pain point solved: </w:t>
      </w:r>
      <w:r w:rsidDel="00000000" w:rsidR="00000000" w:rsidRPr="00000000">
        <w:rPr>
          <w:rtl w:val="0"/>
        </w:rPr>
        <w:t xml:space="preserve">This directly addresses the limitations/future research rubric.</w:t>
      </w:r>
    </w:p>
    <w:p w:rsidR="00000000" w:rsidDel="00000000" w:rsidP="00000000" w:rsidRDefault="00000000" w:rsidRPr="00000000" w14:paraId="00000063">
      <w:pPr>
        <w:pStyle w:val="Heading1"/>
        <w:rPr/>
      </w:pPr>
      <w:r w:rsidDel="00000000" w:rsidR="00000000" w:rsidRPr="00000000">
        <w:rPr>
          <w:rtl w:val="0"/>
        </w:rPr>
        <w:t xml:space="preserve">7. Evidence-Based Judgment and Conclusion</w:t>
      </w:r>
    </w:p>
    <w:p w:rsidR="00000000" w:rsidDel="00000000" w:rsidP="00000000" w:rsidRDefault="00000000" w:rsidRPr="00000000" w14:paraId="00000064">
      <w:pPr>
        <w:pStyle w:val="Heading2"/>
        <w:rPr/>
      </w:pPr>
      <w:r w:rsidDel="00000000" w:rsidR="00000000" w:rsidRPr="00000000">
        <w:rPr>
          <w:rtl w:val="0"/>
        </w:rPr>
        <w:t xml:space="preserve">Conclusion Plan</w:t>
      </w:r>
    </w:p>
    <w:p w:rsidR="00000000" w:rsidDel="00000000" w:rsidP="00000000" w:rsidRDefault="00000000" w:rsidRPr="00000000" w14:paraId="00000065">
      <w:pPr>
        <w:spacing w:after="16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Target: </w:t>
      </w:r>
      <w:r w:rsidDel="00000000" w:rsidR="00000000" w:rsidRPr="00000000">
        <w:rPr>
          <w:rtl w:val="0"/>
        </w:rPr>
        <w:t xml:space="preserve">150-200 words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Conclude that the evidence strongly supports a frontal-subcortical neurobehavioral explanation for Clinical Case B. Diagnosis and treatment planning should rely on the combined interpretation of neuroimaging, neuropsychological testing, behavioral history, and functional outcomes.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Final judgment: neuroscience is most useful here for explaining mechanism and guiding rehabilitation, while rTMS remains a cautious adjunctive possibility rather than a guaranteed treatment.</w:t>
      </w:r>
    </w:p>
    <w:p w:rsidR="00000000" w:rsidDel="00000000" w:rsidP="00000000" w:rsidRDefault="00000000" w:rsidRPr="00000000" w14:paraId="00000068">
      <w:pPr>
        <w:pStyle w:val="Heading1"/>
        <w:rPr/>
      </w:pPr>
      <w:r w:rsidDel="00000000" w:rsidR="00000000" w:rsidRPr="00000000">
        <w:rPr>
          <w:rtl w:val="0"/>
        </w:rPr>
        <w:t xml:space="preserve">Study.com Source Use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Prestes: research evaluation framework.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Boyd: brain-behavior methods and imaging techniques.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Hultzman: biological therapy context.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Kilgore: rTMS background only.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Gillaspy: medication/mood confound background only.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Course source links: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Prestes (2025):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https://study.com/academy/lesson/evaluating-scientific-research-methods-steps-guidelines.html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Boyd (2025):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https://study.com/academy/lesson/techniques-to-study-the-brain-and-behavior.html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Hultzman (2022):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https://study.com/academy/lesson/biological-therapy.html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Kilgore (2015):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https://study.com/academy/lesson/what-is-repetitive-transcranial-magnetic-stimulation.html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Gillaspy (2021):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https://study.com/academy/lesson/how-antidepressants-work-in-the-brain.html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1"/>
        <w:rPr/>
      </w:pPr>
      <w:r w:rsidDel="00000000" w:rsidR="00000000" w:rsidRPr="00000000">
        <w:rPr>
          <w:rtl w:val="0"/>
        </w:rPr>
        <w:t xml:space="preserve">Best Reference Base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Use these peer-reviewed sources as your core evidence: Barrash et al. (2018), Barrash et al. (2022), Wallin et al. (2018), El Husseini et al. (2023), Saa et al. (2021), O'Donoghue et al. (2022), and Wang et al. (2022).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Peer-reviewed source links: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Barrash et al. (2018):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https://pmc.ncbi.nlm.nih.gov/articles/PMC6120760/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Barrash et al. (2022):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https://pmc.ncbi.nlm.nih.gov/articles/PMC8816872/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Wallin et al. (2018):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https://pmc.ncbi.nlm.nih.gov/articles/PMC5870030/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El Husseini et al. (2023):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https://pubmed.ncbi.nlm.nih.gov/37125534/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Saa et al. (2021):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https://pubmed.ncbi.nlm.nih.gov/34027728/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O'Donoghue et al. (2022):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https://pubmed.ncbi.nlm.nih.gov/35109684/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Wang et al. (2022):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https://pmc.ncbi.nlm.nih.gov/articles/PMC9832390/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This outline covers the actual case, uses the required course sources correctly, reviews seven scholarly sources, and covers every rubric area without overclaiming.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b w:val="0"/>
      <w:bCs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b w:val="0"/>
      <w:bCs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mc.ncbi.nlm.nih.gov/articles/PMC6120760/" TargetMode="External"/><Relationship Id="rId10" Type="http://schemas.openxmlformats.org/officeDocument/2006/relationships/hyperlink" Target="https://study.com/academy/lesson/how-antidepressants-work-in-the-brain.html" TargetMode="External"/><Relationship Id="rId13" Type="http://schemas.openxmlformats.org/officeDocument/2006/relationships/hyperlink" Target="https://pmc.ncbi.nlm.nih.gov/articles/PMC5870030/" TargetMode="External"/><Relationship Id="rId12" Type="http://schemas.openxmlformats.org/officeDocument/2006/relationships/hyperlink" Target="https://pmc.ncbi.nlm.nih.gov/articles/PMC8816872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udy.com/academy/lesson/what-is-repetitive-transcranial-magnetic-stimulation.html" TargetMode="External"/><Relationship Id="rId15" Type="http://schemas.openxmlformats.org/officeDocument/2006/relationships/hyperlink" Target="https://pubmed.ncbi.nlm.nih.gov/34027728/" TargetMode="External"/><Relationship Id="rId14" Type="http://schemas.openxmlformats.org/officeDocument/2006/relationships/hyperlink" Target="https://pubmed.ncbi.nlm.nih.gov/37125534/" TargetMode="External"/><Relationship Id="rId17" Type="http://schemas.openxmlformats.org/officeDocument/2006/relationships/hyperlink" Target="https://pmc.ncbi.nlm.nih.gov/articles/PMC9832390/" TargetMode="External"/><Relationship Id="rId16" Type="http://schemas.openxmlformats.org/officeDocument/2006/relationships/hyperlink" Target="https://pubmed.ncbi.nlm.nih.gov/35109684/" TargetMode="External"/><Relationship Id="rId5" Type="http://schemas.openxmlformats.org/officeDocument/2006/relationships/styles" Target="styles.xml"/><Relationship Id="rId6" Type="http://schemas.openxmlformats.org/officeDocument/2006/relationships/hyperlink" Target="https://study.com/academy/lesson/evaluating-scientific-research-methods-steps-guidelines.html" TargetMode="External"/><Relationship Id="rId7" Type="http://schemas.openxmlformats.org/officeDocument/2006/relationships/hyperlink" Target="https://study.com/academy/lesson/techniques-to-study-the-brain-and-behavior.html" TargetMode="External"/><Relationship Id="rId8" Type="http://schemas.openxmlformats.org/officeDocument/2006/relationships/hyperlink" Target="https://study.com/academy/lesson/biological-therapy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